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85F24" w:rsidRDefault="00C85F24" w:rsidP="00C85F2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85F24" w:rsidRDefault="00BB6331" w:rsidP="00BB6331">
      <w:pPr>
        <w:rPr>
          <w:rFonts w:hint="eastAsia"/>
        </w:rPr>
      </w:pPr>
    </w:p>
    <w:p w:rsidR="00EE1DFE" w:rsidRDefault="00EE1DFE" w:rsidP="00EE1DFE">
      <w:pPr>
        <w:rPr>
          <w:rFonts w:hint="eastAsia"/>
        </w:rPr>
      </w:pPr>
      <w:r>
        <w:rPr>
          <w:rFonts w:hint="eastAsia"/>
        </w:rPr>
        <w:t>第五款　情報収集のための施設の設置</w:t>
      </w:r>
    </w:p>
    <w:p w:rsidR="00EE1DFE" w:rsidRDefault="00EE1DFE" w:rsidP="00EE1DFE"/>
    <w:p w:rsidR="00EE1DFE" w:rsidRDefault="00EE1DFE" w:rsidP="000F054F">
      <w:pPr>
        <w:ind w:left="178" w:hangingChars="85" w:hanging="178"/>
        <w:rPr>
          <w:rFonts w:hint="eastAsia"/>
        </w:rPr>
      </w:pPr>
      <w:r>
        <w:rPr>
          <w:rFonts w:hint="eastAsia"/>
        </w:rPr>
        <w:t>第六十二条　外国証券業者（有価証券関連業と密接な関係を有する業を行う者で内閣府令で定めるものを含む。以下この条において同じ。）又は外国で投資助言業務若しくは投資運用業を行う者（第二十九条又は第三十三条の二の登録を受けた者を除く。以下この条において同じ。）は、有価証券及び有価証券に係る金融指標の市場に関する情報の収集及び提供その他金融商品取引等に関連のある業務で内閣府令で定めるものを行うため、国内において駐在員事務所その他の施設を設置しようとする場合（他の目的をもつて設置している施設において当該業務を行おうとする場合を含む。）には、あらかじめ、当該業務の内容、当該施設の所在の場所その他内閣府令で定める事項を内閣総理大臣に届け出なければならない。</w:t>
      </w:r>
    </w:p>
    <w:p w:rsidR="00EE1DFE" w:rsidRDefault="00EE1DFE" w:rsidP="000F054F">
      <w:pPr>
        <w:ind w:left="178" w:hangingChars="85" w:hanging="178"/>
        <w:rPr>
          <w:rFonts w:hint="eastAsia"/>
        </w:rPr>
      </w:pPr>
      <w:r>
        <w:rPr>
          <w:rFonts w:hint="eastAsia"/>
        </w:rPr>
        <w:t>２　内閣総理大臣は、公益又は投資者保護のため必要かつ適当であると認めるときは、外国証券業者又は外国で投資助言業務若しくは投資運用業を行う者に対し前項の業務に関する報告又は資料の提出を命ずることができる。</w:t>
      </w:r>
    </w:p>
    <w:p w:rsidR="00BB6331" w:rsidRDefault="00EE1DFE" w:rsidP="000F054F">
      <w:pPr>
        <w:ind w:left="178" w:hangingChars="85" w:hanging="178"/>
        <w:rPr>
          <w:rFonts w:hint="eastAsia"/>
        </w:rPr>
      </w:pPr>
      <w:r>
        <w:rPr>
          <w:rFonts w:hint="eastAsia"/>
        </w:rPr>
        <w:t>３　外国証券業者又は外国で投資助言業務若しくは投資運用業を行う者は、第一項の施設若しくは業務を廃止したとき、又は同項の規定により届け出た事項を変更したときは、遅滞なく、その旨を内閣総理大臣に届け出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F0A4B">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F0A4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F0A4B">
        <w:rPr>
          <w:rFonts w:hint="eastAsia"/>
        </w:rPr>
        <w:t>（改正なし）</w:t>
      </w:r>
    </w:p>
    <w:p w:rsidR="00490DE1" w:rsidRDefault="00490DE1" w:rsidP="00490DE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F054F">
        <w:tab/>
      </w:r>
      <w:r w:rsidR="000F054F">
        <w:rPr>
          <w:rFonts w:hint="eastAsia"/>
        </w:rPr>
        <w:t>（改正なし）</w:t>
      </w:r>
    </w:p>
    <w:p w:rsidR="003003EC" w:rsidRDefault="00BB6331" w:rsidP="003003EC">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003EC" w:rsidRDefault="003003EC" w:rsidP="003003EC"/>
    <w:p w:rsidR="003003EC" w:rsidRDefault="003003EC" w:rsidP="003003EC">
      <w:r>
        <w:rPr>
          <w:rFonts w:hint="eastAsia"/>
        </w:rPr>
        <w:t>（改正後）</w:t>
      </w:r>
    </w:p>
    <w:p w:rsidR="003003EC" w:rsidRDefault="003003EC" w:rsidP="003003EC">
      <w:pPr>
        <w:rPr>
          <w:rFonts w:hint="eastAsia"/>
        </w:rPr>
      </w:pPr>
      <w:r>
        <w:rPr>
          <w:rFonts w:hint="eastAsia"/>
        </w:rPr>
        <w:lastRenderedPageBreak/>
        <w:t>第五款　情報収集のための施設の設置</w:t>
      </w:r>
    </w:p>
    <w:p w:rsidR="003003EC" w:rsidRDefault="003003EC" w:rsidP="003003EC"/>
    <w:p w:rsidR="003003EC" w:rsidRDefault="003003EC" w:rsidP="003003EC">
      <w:pPr>
        <w:ind w:left="178" w:hangingChars="85" w:hanging="178"/>
        <w:rPr>
          <w:rFonts w:hint="eastAsia"/>
        </w:rPr>
      </w:pPr>
      <w:r>
        <w:rPr>
          <w:rFonts w:hint="eastAsia"/>
        </w:rPr>
        <w:t>第六十二条　外国証券業者（有価証券関連業と密接な関係を有する業を行う者で内閣府令で定めるものを含む。以下この条において同じ。）又は外国で投資助言業務若しくは投資運用業を行う者（第二十九条又は第三十三条の二の登録を受けた者を除く。以下この条において同じ。）は、有価証券及び有価証券に係る金融指標の市場に関する情報の収集及び提供その他金融商品取引等に関連のある業務で内閣府令で定めるものを行うため、国内において駐在員事務所その他の施設を設置しようとする場合（他の目的をもつて設置している施設において当該業務を行おうとする場合を含む。）には、あらかじめ、当該業務の内容、当該施設の所在の場所その他内閣府令で定める事項を内閣総理大臣に届け出なければならない。</w:t>
      </w:r>
    </w:p>
    <w:p w:rsidR="003003EC" w:rsidRDefault="003003EC" w:rsidP="003003EC">
      <w:pPr>
        <w:ind w:left="178" w:hangingChars="85" w:hanging="178"/>
        <w:rPr>
          <w:rFonts w:hint="eastAsia"/>
        </w:rPr>
      </w:pPr>
      <w:r>
        <w:rPr>
          <w:rFonts w:hint="eastAsia"/>
        </w:rPr>
        <w:t>２　内閣総理大臣は、公益又は投資者保護のため必要かつ適当であると認めるときは、外国証券業者又は外国で投資助言業務若しくは投資運用業を行う者に対し前項の業務に関する報告又は資料の提出を命ずることができる。</w:t>
      </w:r>
    </w:p>
    <w:p w:rsidR="003003EC" w:rsidRDefault="003003EC" w:rsidP="003003EC">
      <w:pPr>
        <w:ind w:left="178" w:hangingChars="85" w:hanging="178"/>
        <w:rPr>
          <w:rFonts w:hint="eastAsia"/>
        </w:rPr>
      </w:pPr>
      <w:r>
        <w:rPr>
          <w:rFonts w:hint="eastAsia"/>
        </w:rPr>
        <w:t>３　外国証券業者又は外国で投資助言業務若しくは投資運用業を行う者は、第一項の施設若しくは業務を廃止したとき、又は同項の規定により届け出た事項を変更したときは、遅滞なく、その旨を内閣総理大臣に届け出なければならない。</w:t>
      </w:r>
    </w:p>
    <w:p w:rsidR="003003EC" w:rsidRPr="003003EC" w:rsidRDefault="003003EC" w:rsidP="003003EC">
      <w:pPr>
        <w:ind w:left="178" w:hangingChars="85" w:hanging="178"/>
      </w:pPr>
    </w:p>
    <w:p w:rsidR="003003EC" w:rsidRDefault="003003EC" w:rsidP="003003EC">
      <w:pPr>
        <w:ind w:left="178" w:hangingChars="85" w:hanging="178"/>
      </w:pPr>
      <w:r>
        <w:rPr>
          <w:rFonts w:hint="eastAsia"/>
        </w:rPr>
        <w:t>（改正前）</w:t>
      </w:r>
    </w:p>
    <w:p w:rsidR="003003EC" w:rsidRDefault="003003EC" w:rsidP="003003EC">
      <w:pPr>
        <w:rPr>
          <w:u w:val="single" w:color="FF0000"/>
        </w:rPr>
      </w:pPr>
      <w:r>
        <w:rPr>
          <w:rFonts w:hint="eastAsia"/>
          <w:u w:val="single" w:color="FF0000"/>
        </w:rPr>
        <w:t>（新設）</w:t>
      </w:r>
    </w:p>
    <w:p w:rsidR="00B76011" w:rsidRDefault="00B76011" w:rsidP="00B76011">
      <w:pPr>
        <w:ind w:left="178" w:hangingChars="85" w:hanging="178"/>
        <w:rPr>
          <w:rFonts w:hint="eastAsia"/>
          <w:u w:color="FF0000"/>
        </w:rPr>
      </w:pPr>
    </w:p>
    <w:sectPr w:rsidR="00B7601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10A" w:rsidRDefault="00A7110A">
      <w:r>
        <w:separator/>
      </w:r>
    </w:p>
  </w:endnote>
  <w:endnote w:type="continuationSeparator" w:id="0">
    <w:p w:rsidR="00A7110A" w:rsidRDefault="00A71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F7CAA">
      <w:rPr>
        <w:rStyle w:val="a4"/>
        <w:noProof/>
      </w:rPr>
      <w:t>2</w:t>
    </w:r>
    <w:r>
      <w:rPr>
        <w:rStyle w:val="a4"/>
      </w:rPr>
      <w:fldChar w:fldCharType="end"/>
    </w:r>
  </w:p>
  <w:p w:rsidR="00BB6331" w:rsidRDefault="000F054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62</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10A" w:rsidRDefault="00A7110A">
      <w:r>
        <w:separator/>
      </w:r>
    </w:p>
  </w:footnote>
  <w:footnote w:type="continuationSeparator" w:id="0">
    <w:p w:rsidR="00A7110A" w:rsidRDefault="00A711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09C7"/>
    <w:rsid w:val="000A4CBF"/>
    <w:rsid w:val="000B4D9C"/>
    <w:rsid w:val="000F054F"/>
    <w:rsid w:val="00116404"/>
    <w:rsid w:val="00173653"/>
    <w:rsid w:val="00220667"/>
    <w:rsid w:val="00264715"/>
    <w:rsid w:val="002D78D9"/>
    <w:rsid w:val="003003EC"/>
    <w:rsid w:val="003D527B"/>
    <w:rsid w:val="00490DE1"/>
    <w:rsid w:val="004D1E61"/>
    <w:rsid w:val="004F54DC"/>
    <w:rsid w:val="005673EA"/>
    <w:rsid w:val="007C7230"/>
    <w:rsid w:val="00842C59"/>
    <w:rsid w:val="008B6ABB"/>
    <w:rsid w:val="00920B85"/>
    <w:rsid w:val="00A7110A"/>
    <w:rsid w:val="00AF0A4B"/>
    <w:rsid w:val="00B76011"/>
    <w:rsid w:val="00BB6331"/>
    <w:rsid w:val="00BF77EF"/>
    <w:rsid w:val="00C85F24"/>
    <w:rsid w:val="00E50F68"/>
    <w:rsid w:val="00EE1DFE"/>
    <w:rsid w:val="00EF5DBE"/>
    <w:rsid w:val="00FE3D46"/>
    <w:rsid w:val="00FF7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3E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F05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20502">
      <w:bodyDiv w:val="1"/>
      <w:marLeft w:val="0"/>
      <w:marRight w:val="0"/>
      <w:marTop w:val="0"/>
      <w:marBottom w:val="0"/>
      <w:divBdr>
        <w:top w:val="none" w:sz="0" w:space="0" w:color="auto"/>
        <w:left w:val="none" w:sz="0" w:space="0" w:color="auto"/>
        <w:bottom w:val="none" w:sz="0" w:space="0" w:color="auto"/>
        <w:right w:val="none" w:sz="0" w:space="0" w:color="auto"/>
      </w:divBdr>
    </w:div>
    <w:div w:id="361127469">
      <w:bodyDiv w:val="1"/>
      <w:marLeft w:val="0"/>
      <w:marRight w:val="0"/>
      <w:marTop w:val="0"/>
      <w:marBottom w:val="0"/>
      <w:divBdr>
        <w:top w:val="none" w:sz="0" w:space="0" w:color="auto"/>
        <w:left w:val="none" w:sz="0" w:space="0" w:color="auto"/>
        <w:bottom w:val="none" w:sz="0" w:space="0" w:color="auto"/>
        <w:right w:val="none" w:sz="0" w:space="0" w:color="auto"/>
      </w:divBdr>
    </w:div>
    <w:div w:id="521088421">
      <w:bodyDiv w:val="1"/>
      <w:marLeft w:val="0"/>
      <w:marRight w:val="0"/>
      <w:marTop w:val="0"/>
      <w:marBottom w:val="0"/>
      <w:divBdr>
        <w:top w:val="none" w:sz="0" w:space="0" w:color="auto"/>
        <w:left w:val="none" w:sz="0" w:space="0" w:color="auto"/>
        <w:bottom w:val="none" w:sz="0" w:space="0" w:color="auto"/>
        <w:right w:val="none" w:sz="0" w:space="0" w:color="auto"/>
      </w:divBdr>
    </w:div>
    <w:div w:id="748698642">
      <w:bodyDiv w:val="1"/>
      <w:marLeft w:val="0"/>
      <w:marRight w:val="0"/>
      <w:marTop w:val="0"/>
      <w:marBottom w:val="0"/>
      <w:divBdr>
        <w:top w:val="none" w:sz="0" w:space="0" w:color="auto"/>
        <w:left w:val="none" w:sz="0" w:space="0" w:color="auto"/>
        <w:bottom w:val="none" w:sz="0" w:space="0" w:color="auto"/>
        <w:right w:val="none" w:sz="0" w:space="0" w:color="auto"/>
      </w:divBdr>
    </w:div>
    <w:div w:id="779835628">
      <w:bodyDiv w:val="1"/>
      <w:marLeft w:val="0"/>
      <w:marRight w:val="0"/>
      <w:marTop w:val="0"/>
      <w:marBottom w:val="0"/>
      <w:divBdr>
        <w:top w:val="none" w:sz="0" w:space="0" w:color="auto"/>
        <w:left w:val="none" w:sz="0" w:space="0" w:color="auto"/>
        <w:bottom w:val="none" w:sz="0" w:space="0" w:color="auto"/>
        <w:right w:val="none" w:sz="0" w:space="0" w:color="auto"/>
      </w:divBdr>
    </w:div>
    <w:div w:id="988555772">
      <w:bodyDiv w:val="1"/>
      <w:marLeft w:val="0"/>
      <w:marRight w:val="0"/>
      <w:marTop w:val="0"/>
      <w:marBottom w:val="0"/>
      <w:divBdr>
        <w:top w:val="none" w:sz="0" w:space="0" w:color="auto"/>
        <w:left w:val="none" w:sz="0" w:space="0" w:color="auto"/>
        <w:bottom w:val="none" w:sz="0" w:space="0" w:color="auto"/>
        <w:right w:val="none" w:sz="0" w:space="0" w:color="auto"/>
      </w:divBdr>
    </w:div>
    <w:div w:id="1013648038">
      <w:bodyDiv w:val="1"/>
      <w:marLeft w:val="0"/>
      <w:marRight w:val="0"/>
      <w:marTop w:val="0"/>
      <w:marBottom w:val="0"/>
      <w:divBdr>
        <w:top w:val="none" w:sz="0" w:space="0" w:color="auto"/>
        <w:left w:val="none" w:sz="0" w:space="0" w:color="auto"/>
        <w:bottom w:val="none" w:sz="0" w:space="0" w:color="auto"/>
        <w:right w:val="none" w:sz="0" w:space="0" w:color="auto"/>
      </w:divBdr>
    </w:div>
    <w:div w:id="1080902843">
      <w:bodyDiv w:val="1"/>
      <w:marLeft w:val="0"/>
      <w:marRight w:val="0"/>
      <w:marTop w:val="0"/>
      <w:marBottom w:val="0"/>
      <w:divBdr>
        <w:top w:val="none" w:sz="0" w:space="0" w:color="auto"/>
        <w:left w:val="none" w:sz="0" w:space="0" w:color="auto"/>
        <w:bottom w:val="none" w:sz="0" w:space="0" w:color="auto"/>
        <w:right w:val="none" w:sz="0" w:space="0" w:color="auto"/>
      </w:divBdr>
    </w:div>
    <w:div w:id="1484854592">
      <w:bodyDiv w:val="1"/>
      <w:marLeft w:val="0"/>
      <w:marRight w:val="0"/>
      <w:marTop w:val="0"/>
      <w:marBottom w:val="0"/>
      <w:divBdr>
        <w:top w:val="none" w:sz="0" w:space="0" w:color="auto"/>
        <w:left w:val="none" w:sz="0" w:space="0" w:color="auto"/>
        <w:bottom w:val="none" w:sz="0" w:space="0" w:color="auto"/>
        <w:right w:val="none" w:sz="0" w:space="0" w:color="auto"/>
      </w:divBdr>
    </w:div>
    <w:div w:id="1566331943">
      <w:bodyDiv w:val="1"/>
      <w:marLeft w:val="0"/>
      <w:marRight w:val="0"/>
      <w:marTop w:val="0"/>
      <w:marBottom w:val="0"/>
      <w:divBdr>
        <w:top w:val="none" w:sz="0" w:space="0" w:color="auto"/>
        <w:left w:val="none" w:sz="0" w:space="0" w:color="auto"/>
        <w:bottom w:val="none" w:sz="0" w:space="0" w:color="auto"/>
        <w:right w:val="none" w:sz="0" w:space="0" w:color="auto"/>
      </w:divBdr>
    </w:div>
    <w:div w:id="1783959486">
      <w:bodyDiv w:val="1"/>
      <w:marLeft w:val="0"/>
      <w:marRight w:val="0"/>
      <w:marTop w:val="0"/>
      <w:marBottom w:val="0"/>
      <w:divBdr>
        <w:top w:val="none" w:sz="0" w:space="0" w:color="auto"/>
        <w:left w:val="none" w:sz="0" w:space="0" w:color="auto"/>
        <w:bottom w:val="none" w:sz="0" w:space="0" w:color="auto"/>
        <w:right w:val="none" w:sz="0" w:space="0" w:color="auto"/>
      </w:divBdr>
    </w:div>
    <w:div w:id="1813324698">
      <w:bodyDiv w:val="1"/>
      <w:marLeft w:val="0"/>
      <w:marRight w:val="0"/>
      <w:marTop w:val="0"/>
      <w:marBottom w:val="0"/>
      <w:divBdr>
        <w:top w:val="none" w:sz="0" w:space="0" w:color="auto"/>
        <w:left w:val="none" w:sz="0" w:space="0" w:color="auto"/>
        <w:bottom w:val="none" w:sz="0" w:space="0" w:color="auto"/>
        <w:right w:val="none" w:sz="0" w:space="0" w:color="auto"/>
      </w:divBdr>
    </w:div>
    <w:div w:id="1854373438">
      <w:bodyDiv w:val="1"/>
      <w:marLeft w:val="0"/>
      <w:marRight w:val="0"/>
      <w:marTop w:val="0"/>
      <w:marBottom w:val="0"/>
      <w:divBdr>
        <w:top w:val="none" w:sz="0" w:space="0" w:color="auto"/>
        <w:left w:val="none" w:sz="0" w:space="0" w:color="auto"/>
        <w:bottom w:val="none" w:sz="0" w:space="0" w:color="auto"/>
        <w:right w:val="none" w:sz="0" w:space="0" w:color="auto"/>
      </w:divBdr>
    </w:div>
    <w:div w:id="1954289922">
      <w:bodyDiv w:val="1"/>
      <w:marLeft w:val="0"/>
      <w:marRight w:val="0"/>
      <w:marTop w:val="0"/>
      <w:marBottom w:val="0"/>
      <w:divBdr>
        <w:top w:val="none" w:sz="0" w:space="0" w:color="auto"/>
        <w:left w:val="none" w:sz="0" w:space="0" w:color="auto"/>
        <w:bottom w:val="none" w:sz="0" w:space="0" w:color="auto"/>
        <w:right w:val="none" w:sz="0" w:space="0" w:color="auto"/>
      </w:divBdr>
    </w:div>
    <w:div w:id="1995982859">
      <w:bodyDiv w:val="1"/>
      <w:marLeft w:val="0"/>
      <w:marRight w:val="0"/>
      <w:marTop w:val="0"/>
      <w:marBottom w:val="0"/>
      <w:divBdr>
        <w:top w:val="none" w:sz="0" w:space="0" w:color="auto"/>
        <w:left w:val="none" w:sz="0" w:space="0" w:color="auto"/>
        <w:bottom w:val="none" w:sz="0" w:space="0" w:color="auto"/>
        <w:right w:val="none" w:sz="0" w:space="0" w:color="auto"/>
      </w:divBdr>
    </w:div>
    <w:div w:id="2091810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216</Words>
  <Characters>1235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【平成20年1月4日現在】</vt:lpstr>
      <vt:lpstr>【平成20年1月4日現在】</vt:lpstr>
    </vt:vector>
  </TitlesOfParts>
  <Manager/>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【平成20年1月4日現在】</dc:title>
  <dc:subject/>
  <dc:creator/>
  <cp:keywords/>
  <dc:description/>
  <cp:lastModifiedBy/>
  <cp:revision>1</cp:revision>
  <dcterms:created xsi:type="dcterms:W3CDTF">2024-09-04T06:23:00Z</dcterms:created>
  <dcterms:modified xsi:type="dcterms:W3CDTF">2024-09-04T06:23:00Z</dcterms:modified>
</cp:coreProperties>
</file>